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0968" w14:textId="773ECBC1" w:rsidR="0007071C" w:rsidRDefault="0007071C" w:rsidP="00FA011D">
      <w:r>
        <w:t xml:space="preserve">Klacht tegen accountant in hoger beroep </w:t>
      </w:r>
      <w:r>
        <w:t>vanwege verjaring</w:t>
      </w:r>
      <w:r>
        <w:t xml:space="preserve"> niet-ontvankelijk verklaard </w:t>
      </w:r>
    </w:p>
    <w:p w14:paraId="3DF50223" w14:textId="77777777" w:rsidR="0007071C" w:rsidRDefault="0007071C" w:rsidP="00FA011D"/>
    <w:p w14:paraId="7B332D8D" w14:textId="1A2CA650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r>
        <w:t xml:space="preserve">Appellant is accountant. </w:t>
      </w:r>
      <w:r w:rsidRPr="00FA011D">
        <w:rPr>
          <w:rFonts w:ascii="Times New Roman" w:eastAsia="Times New Roman" w:hAnsi="Times New Roman" w:cs="Times New Roman"/>
          <w:lang w:eastAsia="nl-NL"/>
        </w:rPr>
        <w:t>In het najaar van 2013 heeft </w:t>
      </w:r>
      <w:r>
        <w:rPr>
          <w:rFonts w:ascii="Times New Roman" w:eastAsia="Times New Roman" w:hAnsi="Times New Roman" w:cs="Times New Roman"/>
          <w:lang w:eastAsia="nl-NL"/>
        </w:rPr>
        <w:t>hij</w:t>
      </w:r>
      <w:r w:rsidRPr="00FA011D">
        <w:rPr>
          <w:rFonts w:ascii="Times New Roman" w:eastAsia="Times New Roman" w:hAnsi="Times New Roman" w:cs="Times New Roman"/>
          <w:lang w:eastAsia="nl-NL"/>
        </w:rPr>
        <w:t> accountantswerkzaamheden verricht voor de eenmanszaak</w:t>
      </w:r>
      <w:r>
        <w:rPr>
          <w:rFonts w:ascii="Times New Roman" w:eastAsia="Times New Roman" w:hAnsi="Times New Roman" w:cs="Times New Roman"/>
          <w:lang w:eastAsia="nl-NL"/>
        </w:rPr>
        <w:t xml:space="preserve">. De eenmanszaak stond op de rand van de afgrond, de werkzaamheden van appellant waren gericht op het behoud dan wel een mogelijke doorstart van de onderneming. </w:t>
      </w:r>
    </w:p>
    <w:p w14:paraId="0E1013A7" w14:textId="19CEAA96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1B1B56A5" w14:textId="0B1BABFC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r w:rsidRPr="00FA011D">
        <w:rPr>
          <w:rFonts w:ascii="Times New Roman" w:eastAsia="Times New Roman" w:hAnsi="Times New Roman" w:cs="Times New Roman"/>
          <w:lang w:eastAsia="nl-NL"/>
        </w:rPr>
        <w:t>In februari 2014 is de verstandhouding tussen </w:t>
      </w:r>
      <w:r>
        <w:rPr>
          <w:rFonts w:ascii="Times New Roman" w:eastAsia="Times New Roman" w:hAnsi="Times New Roman" w:cs="Times New Roman"/>
          <w:lang w:eastAsia="nl-NL"/>
        </w:rPr>
        <w:t>X</w:t>
      </w:r>
      <w:r w:rsidRPr="00FA011D">
        <w:rPr>
          <w:rFonts w:ascii="Times New Roman" w:eastAsia="Times New Roman" w:hAnsi="Times New Roman" w:cs="Times New Roman"/>
          <w:lang w:eastAsia="nl-NL"/>
        </w:rPr>
        <w:t> en appellant ernstig verslechterd. Dit heeft geleid tot beëindiging van de werkzaamheden van appellant voor </w:t>
      </w:r>
      <w:r>
        <w:rPr>
          <w:rFonts w:ascii="Times New Roman" w:eastAsia="Times New Roman" w:hAnsi="Times New Roman" w:cs="Times New Roman"/>
          <w:lang w:eastAsia="nl-NL"/>
        </w:rPr>
        <w:t xml:space="preserve">X. </w:t>
      </w:r>
    </w:p>
    <w:p w14:paraId="3FA18DB5" w14:textId="33C62435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1B0D8AA4" w14:textId="41723716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X </w:t>
      </w:r>
      <w:r w:rsidRPr="00FA011D">
        <w:rPr>
          <w:rFonts w:ascii="Times New Roman" w:eastAsia="Times New Roman" w:hAnsi="Times New Roman" w:cs="Times New Roman"/>
          <w:lang w:eastAsia="nl-NL"/>
        </w:rPr>
        <w:t>heeft in maart 2014 een klacht ingediend tegen appellant</w:t>
      </w:r>
      <w:r>
        <w:rPr>
          <w:rFonts w:ascii="Times New Roman" w:eastAsia="Times New Roman" w:hAnsi="Times New Roman" w:cs="Times New Roman"/>
          <w:lang w:eastAsia="nl-NL"/>
        </w:rPr>
        <w:t>. D</w:t>
      </w:r>
      <w:r w:rsidRPr="00FA011D">
        <w:rPr>
          <w:rFonts w:ascii="Times New Roman" w:eastAsia="Times New Roman" w:hAnsi="Times New Roman" w:cs="Times New Roman"/>
          <w:lang w:eastAsia="nl-NL"/>
        </w:rPr>
        <w:t>eze klacht</w:t>
      </w:r>
      <w:r>
        <w:rPr>
          <w:rFonts w:ascii="Times New Roman" w:eastAsia="Times New Roman" w:hAnsi="Times New Roman" w:cs="Times New Roman"/>
          <w:lang w:eastAsia="nl-NL"/>
        </w:rPr>
        <w:t xml:space="preserve"> is</w:t>
      </w:r>
      <w:r w:rsidRPr="00FA011D">
        <w:rPr>
          <w:rFonts w:ascii="Times New Roman" w:eastAsia="Times New Roman" w:hAnsi="Times New Roman" w:cs="Times New Roman"/>
          <w:lang w:eastAsia="nl-NL"/>
        </w:rPr>
        <w:t> </w:t>
      </w:r>
      <w:r>
        <w:rPr>
          <w:rFonts w:ascii="Times New Roman" w:eastAsia="Times New Roman" w:hAnsi="Times New Roman" w:cs="Times New Roman"/>
          <w:lang w:eastAsia="nl-NL"/>
        </w:rPr>
        <w:t xml:space="preserve">vervolgens </w:t>
      </w:r>
      <w:r w:rsidRPr="00FA011D">
        <w:rPr>
          <w:rFonts w:ascii="Times New Roman" w:eastAsia="Times New Roman" w:hAnsi="Times New Roman" w:cs="Times New Roman"/>
          <w:lang w:eastAsia="nl-NL"/>
        </w:rPr>
        <w:t>geheel ongegrond verklaard.</w:t>
      </w:r>
    </w:p>
    <w:p w14:paraId="5367DBB8" w14:textId="55B82660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14A5137C" w14:textId="1BE93106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2FF4EFF0" w14:textId="0D6DF39B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OO</w:t>
      </w:r>
      <w:r w:rsidRPr="00FA011D">
        <w:rPr>
          <w:rFonts w:ascii="Times New Roman" w:eastAsia="Times New Roman" w:hAnsi="Times New Roman" w:cs="Times New Roman"/>
          <w:lang w:eastAsia="nl-NL"/>
        </w:rPr>
        <w:t>p 13 november 2014 is namens appellant executoriaal derdenbeslag gelegd onder het ABP op een periodieke pensioenuitkering van </w:t>
      </w:r>
      <w:r>
        <w:rPr>
          <w:rFonts w:ascii="Times New Roman" w:eastAsia="Times New Roman" w:hAnsi="Times New Roman" w:cs="Times New Roman"/>
          <w:lang w:eastAsia="nl-NL"/>
        </w:rPr>
        <w:t>X</w:t>
      </w:r>
      <w:r w:rsidRPr="00FA011D">
        <w:rPr>
          <w:rFonts w:ascii="Times New Roman" w:eastAsia="Times New Roman" w:hAnsi="Times New Roman" w:cs="Times New Roman"/>
          <w:lang w:eastAsia="nl-NL"/>
        </w:rPr>
        <w:t xml:space="preserve">. Dit derdenbeslag is tot het faillissement van </w:t>
      </w:r>
      <w:r>
        <w:rPr>
          <w:rFonts w:ascii="Times New Roman" w:eastAsia="Times New Roman" w:hAnsi="Times New Roman" w:cs="Times New Roman"/>
          <w:lang w:eastAsia="nl-NL"/>
        </w:rPr>
        <w:t xml:space="preserve">X </w:t>
      </w:r>
      <w:r w:rsidRPr="00FA011D">
        <w:rPr>
          <w:rFonts w:ascii="Times New Roman" w:eastAsia="Times New Roman" w:hAnsi="Times New Roman" w:cs="Times New Roman"/>
          <w:lang w:eastAsia="nl-NL"/>
        </w:rPr>
        <w:t>in december 2017, gehandhaafd. Op 14 december 2014 is executoriaal beslag gelegd op diverse schilderijen van </w:t>
      </w:r>
      <w:r>
        <w:rPr>
          <w:rFonts w:ascii="Times New Roman" w:eastAsia="Times New Roman" w:hAnsi="Times New Roman" w:cs="Times New Roman"/>
          <w:lang w:eastAsia="nl-NL"/>
        </w:rPr>
        <w:t>X</w:t>
      </w:r>
      <w:r w:rsidRPr="00FA011D">
        <w:rPr>
          <w:rFonts w:ascii="Times New Roman" w:eastAsia="Times New Roman" w:hAnsi="Times New Roman" w:cs="Times New Roman"/>
          <w:lang w:eastAsia="nl-NL"/>
        </w:rPr>
        <w:t xml:space="preserve">. Deze schilderijen zijn nadien verkocht. </w:t>
      </w:r>
      <w:r>
        <w:rPr>
          <w:rFonts w:ascii="Times New Roman" w:eastAsia="Times New Roman" w:hAnsi="Times New Roman" w:cs="Times New Roman"/>
          <w:lang w:eastAsia="nl-NL"/>
        </w:rPr>
        <w:t xml:space="preserve">X </w:t>
      </w:r>
      <w:r w:rsidRPr="00FA011D">
        <w:rPr>
          <w:rFonts w:ascii="Times New Roman" w:eastAsia="Times New Roman" w:hAnsi="Times New Roman" w:cs="Times New Roman"/>
          <w:lang w:eastAsia="nl-NL"/>
        </w:rPr>
        <w:t>is bij vonnis van 20 december 2017 failliet verklaard door de rechtbank Noord-Nederland.</w:t>
      </w:r>
    </w:p>
    <w:p w14:paraId="4E272C64" w14:textId="7A7634D0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7FC34102" w14:textId="730AFB37" w:rsidR="00FA011D" w:rsidRDefault="00FA011D" w:rsidP="00FA011D">
      <w:pPr>
        <w:rPr>
          <w:rFonts w:ascii="Times New Roman" w:eastAsia="Times New Roman" w:hAnsi="Times New Roman" w:cs="Times New Roman"/>
          <w:b/>
          <w:bCs/>
          <w:lang w:eastAsia="nl-NL"/>
        </w:rPr>
      </w:pPr>
      <w:r>
        <w:rPr>
          <w:rFonts w:ascii="Times New Roman" w:eastAsia="Times New Roman" w:hAnsi="Times New Roman" w:cs="Times New Roman"/>
          <w:b/>
          <w:bCs/>
          <w:lang w:eastAsia="nl-NL"/>
        </w:rPr>
        <w:t>Uitspraak van de Accountantskamer</w:t>
      </w:r>
    </w:p>
    <w:p w14:paraId="3E2624B0" w14:textId="77777777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Appellant heeft volgens X </w:t>
      </w:r>
      <w:r w:rsidRPr="00FA011D">
        <w:rPr>
          <w:rFonts w:ascii="Times New Roman" w:eastAsia="Times New Roman" w:hAnsi="Times New Roman" w:cs="Times New Roman"/>
          <w:lang w:eastAsia="nl-NL"/>
        </w:rPr>
        <w:t>gehandeld in strijd met de voor hem geldende gedrags- en beroepsregels.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1A21CB95" w14:textId="77777777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2925657E" w14:textId="585A454F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r w:rsidRPr="00FA011D">
        <w:rPr>
          <w:rFonts w:ascii="Times New Roman" w:eastAsia="Times New Roman" w:hAnsi="Times New Roman" w:cs="Times New Roman"/>
          <w:lang w:eastAsia="nl-NL"/>
        </w:rPr>
        <w:t>Voor het hoger beroep is alleen nog klachtonderdeel f van belang:</w:t>
      </w:r>
    </w:p>
    <w:p w14:paraId="3A9490ED" w14:textId="7088A325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0FEE1842" w14:textId="0CE24E13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  <w:proofErr w:type="gramStart"/>
      <w:r w:rsidRPr="00FA011D">
        <w:rPr>
          <w:rFonts w:ascii="Times New Roman" w:eastAsia="Times New Roman" w:hAnsi="Times New Roman" w:cs="Times New Roman"/>
          <w:lang w:eastAsia="nl-NL"/>
        </w:rPr>
        <w:t>appellant</w:t>
      </w:r>
      <w:proofErr w:type="gramEnd"/>
      <w:r w:rsidRPr="00FA011D">
        <w:rPr>
          <w:rFonts w:ascii="Times New Roman" w:eastAsia="Times New Roman" w:hAnsi="Times New Roman" w:cs="Times New Roman"/>
          <w:lang w:eastAsia="nl-NL"/>
        </w:rPr>
        <w:t> heeft ten onrechte beslag laten leggen op een pensioenuitkering aan </w:t>
      </w:r>
      <w:r>
        <w:rPr>
          <w:rFonts w:ascii="Times New Roman" w:eastAsia="Times New Roman" w:hAnsi="Times New Roman" w:cs="Times New Roman"/>
          <w:lang w:eastAsia="nl-NL"/>
        </w:rPr>
        <w:t>X</w:t>
      </w:r>
      <w:r w:rsidRPr="00FA011D">
        <w:rPr>
          <w:rFonts w:ascii="Times New Roman" w:eastAsia="Times New Roman" w:hAnsi="Times New Roman" w:cs="Times New Roman"/>
          <w:lang w:eastAsia="nl-NL"/>
        </w:rPr>
        <w:t>, waardoor in de periode van december 2014 tot 20 december 2017 maandelijks ten onrechte een bedrag van € 1.000,-- is ingehouden op deze uitkering.</w:t>
      </w:r>
    </w:p>
    <w:p w14:paraId="60D9F58F" w14:textId="24AE53CE" w:rsidR="001E7F1B" w:rsidRDefault="001E7F1B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6D1F35A4" w14:textId="4BDACA22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  <w:r w:rsidRPr="001E7F1B">
        <w:rPr>
          <w:rFonts w:ascii="Times New Roman" w:eastAsia="Times New Roman" w:hAnsi="Times New Roman" w:cs="Times New Roman"/>
          <w:lang w:eastAsia="nl-NL"/>
        </w:rPr>
        <w:t>Bij de bestreden uitspraak heeft de accountantskamer klachtonderdeel f gegrond verklaard</w:t>
      </w:r>
      <w:r>
        <w:rPr>
          <w:rFonts w:ascii="Times New Roman" w:eastAsia="Times New Roman" w:hAnsi="Times New Roman" w:cs="Times New Roman"/>
          <w:lang w:eastAsia="nl-NL"/>
        </w:rPr>
        <w:t xml:space="preserve">. </w:t>
      </w:r>
      <w:r w:rsidRPr="001E7F1B">
        <w:rPr>
          <w:rFonts w:ascii="Times New Roman" w:eastAsia="Times New Roman" w:hAnsi="Times New Roman" w:cs="Times New Roman"/>
          <w:lang w:eastAsia="nl-NL"/>
        </w:rPr>
        <w:t>Aan appellant is de maatregel van waarschuwing opgelegd.</w:t>
      </w:r>
    </w:p>
    <w:p w14:paraId="2389576A" w14:textId="66EB47E9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17E4449E" w14:textId="47BFB733" w:rsidR="001E7F1B" w:rsidRPr="001E7F1B" w:rsidRDefault="001E7F1B" w:rsidP="001E7F1B">
      <w:pPr>
        <w:rPr>
          <w:rFonts w:ascii="Times New Roman" w:eastAsia="Times New Roman" w:hAnsi="Times New Roman" w:cs="Times New Roman"/>
          <w:b/>
          <w:bCs/>
          <w:lang w:eastAsia="nl-NL"/>
        </w:rPr>
      </w:pPr>
      <w:r>
        <w:rPr>
          <w:rFonts w:ascii="Times New Roman" w:eastAsia="Times New Roman" w:hAnsi="Times New Roman" w:cs="Times New Roman"/>
          <w:b/>
          <w:bCs/>
          <w:lang w:eastAsia="nl-NL"/>
        </w:rPr>
        <w:t>Beoordeling van het geschil in hoger beroep</w:t>
      </w:r>
    </w:p>
    <w:p w14:paraId="2EE24573" w14:textId="6617C501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De belangrijkste grief van appellant is gericht tegen het oordeel van de Accountantskamer dat klachtonderdeel f ontvankelijk is. </w:t>
      </w:r>
      <w:r w:rsidRPr="001E7F1B">
        <w:rPr>
          <w:rFonts w:ascii="Times New Roman" w:eastAsia="Times New Roman" w:hAnsi="Times New Roman" w:cs="Times New Roman"/>
          <w:lang w:eastAsia="nl-NL"/>
        </w:rPr>
        <w:t>Appellant voert aan dat op 13 november 2014 beslag is gelegd op een periodieke pensioenuitkering van </w:t>
      </w:r>
      <w:r>
        <w:rPr>
          <w:rFonts w:ascii="Times New Roman" w:eastAsia="Times New Roman" w:hAnsi="Times New Roman" w:cs="Times New Roman"/>
          <w:lang w:eastAsia="nl-NL"/>
        </w:rPr>
        <w:t>X</w:t>
      </w:r>
      <w:r w:rsidRPr="001E7F1B">
        <w:rPr>
          <w:rFonts w:ascii="Times New Roman" w:eastAsia="Times New Roman" w:hAnsi="Times New Roman" w:cs="Times New Roman"/>
          <w:lang w:eastAsia="nl-NL"/>
        </w:rPr>
        <w:t> en dat</w:t>
      </w:r>
      <w:r>
        <w:rPr>
          <w:rFonts w:ascii="Times New Roman" w:eastAsia="Times New Roman" w:hAnsi="Times New Roman" w:cs="Times New Roman"/>
          <w:lang w:eastAsia="nl-NL"/>
        </w:rPr>
        <w:t xml:space="preserve"> X </w:t>
      </w:r>
      <w:r w:rsidRPr="001E7F1B">
        <w:rPr>
          <w:rFonts w:ascii="Times New Roman" w:eastAsia="Times New Roman" w:hAnsi="Times New Roman" w:cs="Times New Roman"/>
          <w:lang w:eastAsia="nl-NL"/>
        </w:rPr>
        <w:t>vanaf dat moment ook bekend was met het beslag, zodat de klachttermijn van drie jaar op dat moment is gaan lopen.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Pr="001E7F1B">
        <w:rPr>
          <w:rFonts w:ascii="Times New Roman" w:eastAsia="Times New Roman" w:hAnsi="Times New Roman" w:cs="Times New Roman"/>
          <w:lang w:eastAsia="nl-NL"/>
        </w:rPr>
        <w:t> Ten tijde van het indienen van de klacht was de verjaringstermijn van drie jaar verstreken</w:t>
      </w:r>
      <w:r>
        <w:rPr>
          <w:rFonts w:ascii="Times New Roman" w:eastAsia="Times New Roman" w:hAnsi="Times New Roman" w:cs="Times New Roman"/>
          <w:lang w:eastAsia="nl-NL"/>
        </w:rPr>
        <w:t xml:space="preserve">, volgens appellant. </w:t>
      </w:r>
    </w:p>
    <w:p w14:paraId="38EDAE46" w14:textId="11439763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61D73FAF" w14:textId="14E6118A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  <w:r w:rsidRPr="001E7F1B">
        <w:rPr>
          <w:rFonts w:ascii="Times New Roman" w:eastAsia="Times New Roman" w:hAnsi="Times New Roman" w:cs="Times New Roman"/>
          <w:lang w:eastAsia="nl-NL"/>
        </w:rPr>
        <w:t>Appellant heeft op 13 november 2014 beslag gelegd op de pensioenuitkering van </w:t>
      </w:r>
      <w:r>
        <w:rPr>
          <w:rFonts w:ascii="Times New Roman" w:eastAsia="Times New Roman" w:hAnsi="Times New Roman" w:cs="Times New Roman"/>
          <w:lang w:eastAsia="nl-NL"/>
        </w:rPr>
        <w:t xml:space="preserve">X </w:t>
      </w:r>
      <w:r w:rsidRPr="001E7F1B">
        <w:rPr>
          <w:rFonts w:ascii="Times New Roman" w:eastAsia="Times New Roman" w:hAnsi="Times New Roman" w:cs="Times New Roman"/>
          <w:lang w:eastAsia="nl-NL"/>
        </w:rPr>
        <w:t>en </w:t>
      </w:r>
      <w:r>
        <w:rPr>
          <w:rFonts w:ascii="Times New Roman" w:eastAsia="Times New Roman" w:hAnsi="Times New Roman" w:cs="Times New Roman"/>
          <w:lang w:eastAsia="nl-NL"/>
        </w:rPr>
        <w:t xml:space="preserve">X </w:t>
      </w:r>
      <w:r w:rsidRPr="001E7F1B">
        <w:rPr>
          <w:rFonts w:ascii="Times New Roman" w:eastAsia="Times New Roman" w:hAnsi="Times New Roman" w:cs="Times New Roman"/>
          <w:lang w:eastAsia="nl-NL"/>
        </w:rPr>
        <w:t>was ook bekend met dit beslag, zodat de driejaarstermijn met ingang van die datum is gaan lopen.</w:t>
      </w:r>
      <w:r>
        <w:rPr>
          <w:rFonts w:ascii="Times New Roman" w:eastAsia="Times New Roman" w:hAnsi="Times New Roman" w:cs="Times New Roman"/>
          <w:lang w:eastAsia="nl-NL"/>
        </w:rPr>
        <w:t xml:space="preserve"> X</w:t>
      </w:r>
      <w:r w:rsidRPr="001E7F1B">
        <w:rPr>
          <w:rFonts w:ascii="Times New Roman" w:eastAsia="Times New Roman" w:hAnsi="Times New Roman" w:cs="Times New Roman"/>
          <w:lang w:eastAsia="nl-NL"/>
        </w:rPr>
        <w:t> heeft op 21 november 2018 een klaagschrift ingediend bij de accountantskamer. Dit betekent dat de klacht niet binnen de driejaarstermijn is ingediend. </w:t>
      </w:r>
      <w:r w:rsidR="0007071C">
        <w:rPr>
          <w:rFonts w:ascii="Times New Roman" w:eastAsia="Times New Roman" w:hAnsi="Times New Roman" w:cs="Times New Roman"/>
          <w:lang w:eastAsia="nl-NL"/>
        </w:rPr>
        <w:t>Naar het oordeel van de het College is k</w:t>
      </w:r>
      <w:r w:rsidRPr="001E7F1B">
        <w:rPr>
          <w:rFonts w:ascii="Times New Roman" w:eastAsia="Times New Roman" w:hAnsi="Times New Roman" w:cs="Times New Roman"/>
          <w:lang w:eastAsia="nl-NL"/>
        </w:rPr>
        <w:t>lachtonderdeel f is daarom niet-ontvankelijk.</w:t>
      </w:r>
      <w:r w:rsidR="0007071C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593B8A1D" w14:textId="5C2E501A" w:rsidR="0007071C" w:rsidRDefault="0007071C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77C3DFEA" w14:textId="3065422C" w:rsidR="0007071C" w:rsidRDefault="0007071C" w:rsidP="001E7F1B">
      <w:pPr>
        <w:rPr>
          <w:rFonts w:ascii="Times New Roman" w:eastAsia="Times New Roman" w:hAnsi="Times New Roman" w:cs="Times New Roman"/>
          <w:b/>
          <w:bCs/>
          <w:lang w:eastAsia="nl-NL"/>
        </w:rPr>
      </w:pPr>
      <w:r>
        <w:rPr>
          <w:rFonts w:ascii="Times New Roman" w:eastAsia="Times New Roman" w:hAnsi="Times New Roman" w:cs="Times New Roman"/>
          <w:b/>
          <w:bCs/>
          <w:lang w:eastAsia="nl-NL"/>
        </w:rPr>
        <w:t>De beslissing</w:t>
      </w:r>
    </w:p>
    <w:p w14:paraId="37A86861" w14:textId="3CB657A7" w:rsidR="0007071C" w:rsidRDefault="0007071C" w:rsidP="001E7F1B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lastRenderedPageBreak/>
        <w:t xml:space="preserve">Het College verklaart het hoger beroep gegrond, vernietigt de bestreden uitspraak en verklaart klachtonderdeel f niet-ontvankelijk. </w:t>
      </w:r>
    </w:p>
    <w:p w14:paraId="3376EF24" w14:textId="74C0F7B0" w:rsidR="0007071C" w:rsidRDefault="0007071C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29EB234F" w14:textId="77777777" w:rsidR="0007071C" w:rsidRPr="001E7F1B" w:rsidRDefault="0007071C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69137047" w14:textId="77777777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69754636" w14:textId="49E05668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283EB5E7" w14:textId="77777777" w:rsidR="001E7F1B" w:rsidRP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5CED3494" w14:textId="398F29C4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06B08EC7" w14:textId="3E62230A" w:rsid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55E6F9B1" w14:textId="77777777" w:rsidR="001E7F1B" w:rsidRP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39532698" w14:textId="77777777" w:rsidR="001E7F1B" w:rsidRP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7DB5A78A" w14:textId="6159C4AB" w:rsidR="001E7F1B" w:rsidRPr="001E7F1B" w:rsidRDefault="001E7F1B" w:rsidP="001E7F1B">
      <w:pPr>
        <w:rPr>
          <w:rFonts w:ascii="Times New Roman" w:eastAsia="Times New Roman" w:hAnsi="Times New Roman" w:cs="Times New Roman"/>
          <w:lang w:eastAsia="nl-NL"/>
        </w:rPr>
      </w:pPr>
    </w:p>
    <w:p w14:paraId="4ED1CC0B" w14:textId="77777777" w:rsidR="001E7F1B" w:rsidRDefault="001E7F1B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7CAE1A99" w14:textId="525C7726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4053D987" w14:textId="77777777" w:rsid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1CFA79D8" w14:textId="77777777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44E7B47B" w14:textId="12A4C3D5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24392BDE" w14:textId="1AB36CC4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07546B8A" w14:textId="405496AD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34BE0FF0" w14:textId="77777777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5C0A76C3" w14:textId="77777777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287309D2" w14:textId="77777777" w:rsidR="00FA011D" w:rsidRPr="00FA011D" w:rsidRDefault="00FA011D" w:rsidP="00FA011D">
      <w:pPr>
        <w:rPr>
          <w:rFonts w:ascii="Times New Roman" w:eastAsia="Times New Roman" w:hAnsi="Times New Roman" w:cs="Times New Roman"/>
          <w:lang w:eastAsia="nl-NL"/>
        </w:rPr>
      </w:pPr>
    </w:p>
    <w:p w14:paraId="5FBA8FB1" w14:textId="75677E65" w:rsidR="009B2C31" w:rsidRDefault="009B2C31"/>
    <w:sectPr w:rsidR="009B2C31" w:rsidSect="001C19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1D"/>
    <w:rsid w:val="0007071C"/>
    <w:rsid w:val="001C1997"/>
    <w:rsid w:val="001E7F1B"/>
    <w:rsid w:val="009B2C31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497F0"/>
  <w15:chartTrackingRefBased/>
  <w15:docId w15:val="{4B9D3624-1869-E34C-B15B-3D6F0200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Hurkmans</dc:creator>
  <cp:keywords/>
  <dc:description/>
  <cp:lastModifiedBy>Y. Hurkmans</cp:lastModifiedBy>
  <cp:revision>1</cp:revision>
  <dcterms:created xsi:type="dcterms:W3CDTF">2021-07-14T14:07:00Z</dcterms:created>
  <dcterms:modified xsi:type="dcterms:W3CDTF">2021-07-14T14:44:00Z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9f4804-9ab0-4527-a877-f7a87100f5fc_Enabled">
    <vt:lpwstr>true</vt:lpwstr>
  </property>
  <property fmtid="{D5CDD505-2E9C-101B-9397-08002B2CF9AE}" pid="3" name="MSIP_Label_b29f4804-9ab0-4527-a877-f7a87100f5fc_SetDate">
    <vt:lpwstr>2021-07-14T14:07:09Z</vt:lpwstr>
  </property>
  <property fmtid="{D5CDD505-2E9C-101B-9397-08002B2CF9AE}" pid="4" name="MSIP_Label_b29f4804-9ab0-4527-a877-f7a87100f5fc_Method">
    <vt:lpwstr>Standard</vt:lpwstr>
  </property>
  <property fmtid="{D5CDD505-2E9C-101B-9397-08002B2CF9AE}" pid="5" name="MSIP_Label_b29f4804-9ab0-4527-a877-f7a87100f5fc_Name">
    <vt:lpwstr>General</vt:lpwstr>
  </property>
  <property fmtid="{D5CDD505-2E9C-101B-9397-08002B2CF9AE}" pid="6" name="MSIP_Label_b29f4804-9ab0-4527-a877-f7a87100f5fc_SiteId">
    <vt:lpwstr>7a5561df-6599-4898-8a20-cce41db3b44f</vt:lpwstr>
  </property>
  <property fmtid="{D5CDD505-2E9C-101B-9397-08002B2CF9AE}" pid="7" name="MSIP_Label_b29f4804-9ab0-4527-a877-f7a87100f5fc_ActionId">
    <vt:lpwstr>b0c9a106-c9be-41c1-a5fd-f912e1652294</vt:lpwstr>
  </property>
  <property fmtid="{D5CDD505-2E9C-101B-9397-08002B2CF9AE}" pid="8" name="MSIP_Label_b29f4804-9ab0-4527-a877-f7a87100f5fc_ContentBits">
    <vt:lpwstr>0</vt:lpwstr>
  </property>
</Properties>
</file>